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Séance 1 : Bienvenue à l'agence (corrigé)</w:t>
      </w:r>
    </w:p>
    <w:p>
      <w:pPr>
        <w:spacing w:after="120"/>
      </w:pPr>
      <w:r>
        <w:t xml:space="preserve">TIC (Traitement de texte), 4e Agent d'éducation. M. Courcelle.</w:t>
      </w:r>
    </w:p>
    <w:p>
      <w:pPr>
        <w:spacing w:after="120"/>
      </w:pPr>
      <w:r>
        <w:t xml:space="preserve">Ce corrigé reprend uniquement les parties qui ont une réponse attendue : le défi diagnostique, la mise en commun de l'enquête et le « Cliché ou réalité ? ». Les parties 1, 6 et 7 sont personnelles et n'ont pas de corrigé. Les exercices supplémentaires sont corrigés à la fin.</w:t>
      </w:r>
    </w:p>
    <w:p>
      <w:pPr>
        <w:pStyle w:val="Heading1"/>
        <w:keepNext/>
      </w:pPr>
      <w:r>
        <w:t xml:space="preserve">3. Défi diagnostique</w:t>
      </w:r>
    </w:p>
    <w:p>
      <w:pPr>
        <w:pStyle w:val="Heading2"/>
        <w:keepNext/>
      </w:pPr>
      <w:r>
        <w:t xml:space="preserve">Le résultat attendu</w:t>
      </w:r>
    </w:p>
    <w:p>
      <w:pPr>
        <w:spacing w:after="120"/>
      </w:pPr>
      <w:r>
        <w:t xml:space="preserve">Le fichier porte un nom du type 2026-10-01_S1_diagnostic_Yasmine et se trouve sur la clé, dans le dossier de l'année. Le titre « Une soirée à l'internat » est en gras, en taille 16, centré. Le paragraphe est justifié. Les quatre dernières lignes forment une liste à puces. Les mots « encourrage », « Aprés » et « activitées » sont corrigés en « encourage », « Après » et « activités ». « L'éducatrice les accueil » est corrigé en « L'éducatrice les accueille ». Le prénom de l'élève apparaît en bas de la page.</w:t>
      </w:r>
    </w:p>
    <w:p>
      <w:pPr>
        <w:pStyle w:val="Heading2"/>
        <w:keepNext/>
      </w:pPr>
      <w:r>
        <w:t xml:space="preserve">Comment faire dans LibreOffice Writer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tblHeader/>
        </w:trPr>
        <w:tc>
          <w:tcPr>
            <w:tcW w:type="dxa" w:w="26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Consigne</w:t>
            </w:r>
          </w:p>
        </w:tc>
        <w:tc>
          <w:tcPr>
            <w:tcW w:type="dxa" w:w="7038"/>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Marche à suivre</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1. Ouvrir le fichier</w:t>
            </w:r>
          </w:p>
        </w:tc>
        <w:tc>
          <w:tcPr>
            <w:tcW w:type="dxa" w:w="7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Double-clic sur le fichier, ou dans Writer : menu Fichier, puis Ouvrir, puis chercher le fichier.</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 Enregistrer sous un nouveau nom</w:t>
            </w:r>
          </w:p>
        </w:tc>
        <w:tc>
          <w:tcPr>
            <w:tcW w:type="dxa" w:w="7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Menu Fichier, puis Enregistrer sous. Choisir la clé et le dossier de l'année, taper le nouveau nom, puis Enregistrer. Garder le format proposé (ODF).</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3. Mettre en gras</w:t>
            </w:r>
          </w:p>
        </w:tc>
        <w:tc>
          <w:tcPr>
            <w:tcW w:type="dxa" w:w="7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Sélectionner le titre, puis cliquer sur le bouton G de la barre de formatage.</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4. Taille 16 et centré</w:t>
            </w:r>
          </w:p>
        </w:tc>
        <w:tc>
          <w:tcPr>
            <w:tcW w:type="dxa" w:w="7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Titre toujours sélectionné : taper 16 dans la zone de taille de police, puis cliquer sur le bouton Centrer.</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5. Justifier</w:t>
            </w:r>
          </w:p>
        </w:tc>
        <w:tc>
          <w:tcPr>
            <w:tcW w:type="dxa" w:w="7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Cliquer n'importe où dans le paragraphe, puis sur le bouton Justifier. Pas besoin de sélectionner tout le paragraphe.</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6. Liste à puces</w:t>
            </w:r>
          </w:p>
        </w:tc>
        <w:tc>
          <w:tcPr>
            <w:tcW w:type="dxa" w:w="7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Sélectionner les quatre lignes, puis cliquer sur le bouton de liste à puces de la barre de formatage (ou menu Format, puis Puces et numérotation).</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7. Corriger avec le correcteur</w:t>
            </w:r>
          </w:p>
        </w:tc>
        <w:tc>
          <w:tcPr>
            <w:tcW w:type="dxa" w:w="7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Clic droit sur le mot souligné en rouge, puis choisir la bonne proposition dans la liste.</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8. Trouver la faute invisible</w:t>
            </w:r>
          </w:p>
        </w:tc>
        <w:tc>
          <w:tcPr>
            <w:tcW w:type="dxa" w:w="7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 accueil » existe comme mot (le nom : un bon accueil), donc le correcteur ne le souligne pas. Ici il faut le verbe accueillir conjugué : elle accueille.</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9. Pied de page</w:t>
            </w:r>
          </w:p>
        </w:tc>
        <w:tc>
          <w:tcPr>
            <w:tcW w:type="dxa" w:w="7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Menu Insertion, puis En-tête et pied de page, puis Pied de page, puis Style par défaut. Taper son prénom dans la zone qui apparaît en bas de la page.</w:t>
            </w:r>
          </w:p>
        </w:tc>
      </w:tr>
    </w:tbl>
    <w:p/>
    <w:p>
      <w:pPr>
        <w:pStyle w:val="Heading2"/>
        <w:keepNext/>
      </w:pPr>
      <w:r>
        <w:t xml:space="preserve">À retenir</w:t>
      </w:r>
    </w:p>
    <w:p>
      <w:pPr>
        <w:spacing w:after="120"/>
      </w:pPr>
      <w:r>
        <w:t xml:space="preserve">Le correcteur ne voit que les mots qui n'existent pas. Un mot qui existe mais qui est mal employé passe à travers : il faut toujours se relire.</w:t>
      </w:r>
    </w:p>
    <w:p>
      <w:pPr>
        <w:pStyle w:val="Heading1"/>
        <w:keepNext/>
      </w:pPr>
      <w:r>
        <w:t xml:space="preserve">4. Enquête : le métier vu par Internet</w:t>
      </w:r>
    </w:p>
    <w:p>
      <w:pPr>
        <w:spacing w:after="120"/>
      </w:pPr>
      <w:r>
        <w:t xml:space="preserve">Il n'y a pas de bonne réponse unique : chaque binôme décrit ce qu'il a trouvé. La mise en commun sert à comparer ces images avec la réalité du métier. Les questions posées en classe :</w:t>
      </w:r>
    </w:p>
    <w:p>
      <w:pPr>
        <w:pStyle w:val="ListParagraph"/>
        <w:numPr>
          <w:ilvl w:val="0"/>
          <w:numId w:val="2"/>
        </w:numPr>
        <w:spacing w:after="60"/>
      </w:pPr>
      <w:r>
        <w:t xml:space="preserve">Les lieux sont-ils variés, ou retrouve-t-on toujours le même type d'endroit ?</w:t>
      </w:r>
    </w:p>
    <w:p>
      <w:pPr>
        <w:pStyle w:val="ListParagraph"/>
        <w:numPr>
          <w:ilvl w:val="0"/>
          <w:numId w:val="2"/>
        </w:numPr>
        <w:spacing w:after="60"/>
      </w:pPr>
      <w:r>
        <w:t xml:space="preserve">Voit-on des publics différents : enfants, adolescents, adultes, personnes âgées, personnes en situation de handicap ?</w:t>
      </w:r>
    </w:p>
    <w:p>
      <w:pPr>
        <w:pStyle w:val="ListParagraph"/>
        <w:numPr>
          <w:ilvl w:val="0"/>
          <w:numId w:val="2"/>
        </w:numPr>
        <w:spacing w:after="60"/>
      </w:pPr>
      <w:r>
        <w:t xml:space="preserve">Voit-on des éducateurs et des éducatrices, jeunes et moins jeunes ?</w:t>
      </w:r>
    </w:p>
    <w:p>
      <w:pPr>
        <w:pStyle w:val="ListParagraph"/>
        <w:numPr>
          <w:ilvl w:val="0"/>
          <w:numId w:val="2"/>
        </w:numPr>
        <w:spacing w:after="60"/>
      </w:pPr>
      <w:r>
        <w:t xml:space="preserve">Voit-on l'éducateur accompagner, écouter, animer, observer, ou surtout surveiller et punir ?</w:t>
      </w:r>
    </w:p>
    <w:p>
      <w:pPr>
        <w:pStyle w:val="Heading1"/>
        <w:keepNext/>
      </w:pPr>
      <w:r>
        <w:t xml:space="preserve">5. Cliché ou réalité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1100"/>
        <w:gridCol w:w="4938"/>
      </w:tblGrid>
      <w:tr>
        <w:trPr>
          <w:tblHeader/>
        </w:trPr>
        <w:tc>
          <w:tcPr>
            <w:tcW w:type="dxa" w:w="36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Affirmation</w:t>
            </w:r>
          </w:p>
        </w:tc>
        <w:tc>
          <w:tcPr>
            <w:tcW w:type="dxa" w:w="11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Réponse</w:t>
            </w:r>
          </w:p>
        </w:tc>
        <w:tc>
          <w:tcPr>
            <w:tcW w:type="dxa" w:w="4938"/>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Explication</w:t>
            </w:r>
          </w:p>
        </w:tc>
      </w:tr>
      <w:tr>
        <w:trPr>
          <w:cantSplit/>
        </w:trPr>
        <w:tc>
          <w:tcPr>
            <w:tcW w:type="dxa" w:w="3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Un agent d'éducation travaille surtout dans les écoles, comme surveillant.</w:t>
            </w:r>
          </w:p>
        </w:tc>
        <w:tc>
          <w:tcPr>
            <w:tcW w:type="dxa" w:w="11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Cliché</w:t>
            </w:r>
          </w:p>
        </w:tc>
        <w:tc>
          <w:tcPr>
            <w:tcW w:type="dxa" w:w="49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L'école et l'internat ne sont qu'un secteur parmi d'autres : aide à la jeunesse, handicap, petite enfance, personnes âgées, santé mentale, maisons de jeunes, travail de rue...</w:t>
            </w:r>
          </w:p>
        </w:tc>
      </w:tr>
      <w:tr>
        <w:trPr>
          <w:cantSplit/>
        </w:trPr>
        <w:tc>
          <w:tcPr>
            <w:tcW w:type="dxa" w:w="3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Un agent d'éducation peut travailler auprès de personnes âgées.</w:t>
            </w:r>
          </w:p>
        </w:tc>
        <w:tc>
          <w:tcPr>
            <w:tcW w:type="dxa" w:w="11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Réalité</w:t>
            </w:r>
          </w:p>
        </w:tc>
        <w:tc>
          <w:tcPr>
            <w:tcW w:type="dxa" w:w="49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Les maisons de repos et les centres de jour pour personnes âgées font partie de ses lieux de travail.</w:t>
            </w:r>
          </w:p>
        </w:tc>
      </w:tr>
      <w:tr>
        <w:trPr>
          <w:cantSplit/>
        </w:trPr>
        <w:tc>
          <w:tcPr>
            <w:tcW w:type="dxa" w:w="3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Le métier consiste surtout à faire respecter la discipline.</w:t>
            </w:r>
          </w:p>
        </w:tc>
        <w:tc>
          <w:tcPr>
            <w:tcW w:type="dxa" w:w="11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Cliché</w:t>
            </w:r>
          </w:p>
        </w:tc>
        <w:tc>
          <w:tcPr>
            <w:tcW w:type="dxa" w:w="49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Le cœur du métier, c'est l'accompagnement au quotidien : aider chaque personne à devenir plus autonome, selon ses possibilités. Le cadre et les règles en font partie, mais ce n'est pas le but.</w:t>
            </w:r>
          </w:p>
        </w:tc>
      </w:tr>
      <w:tr>
        <w:trPr>
          <w:cantSplit/>
        </w:trPr>
        <w:tc>
          <w:tcPr>
            <w:tcW w:type="dxa" w:w="3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Un agent d'éducation travaille seul, sans collègues d'autres métiers.</w:t>
            </w:r>
          </w:p>
        </w:tc>
        <w:tc>
          <w:tcPr>
            <w:tcW w:type="dxa" w:w="11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Cliché</w:t>
            </w:r>
          </w:p>
        </w:tc>
        <w:tc>
          <w:tcPr>
            <w:tcW w:type="dxa" w:w="49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Il travaille en équipe avec des assistants sociaux, des psychologues, des infirmiers, des enseignants, et avec des services extérieurs (centres PMS, CPAS...).</w:t>
            </w:r>
          </w:p>
        </w:tc>
      </w:tr>
      <w:tr>
        <w:trPr>
          <w:cantSplit/>
        </w:trPr>
        <w:tc>
          <w:tcPr>
            <w:tcW w:type="dxa" w:w="3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Il existe des éducateurs qui travaillent dans la rue.</w:t>
            </w:r>
          </w:p>
        </w:tc>
        <w:tc>
          <w:tcPr>
            <w:tcW w:type="dxa" w:w="11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Réalité</w:t>
            </w:r>
          </w:p>
        </w:tc>
        <w:tc>
          <w:tcPr>
            <w:tcW w:type="dxa" w:w="49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Les éducateurs de rue vont à la rencontre des jeunes là où ils se trouvent, dans le quartier.</w:t>
            </w:r>
          </w:p>
        </w:tc>
      </w:tr>
      <w:tr>
        <w:trPr>
          <w:cantSplit/>
        </w:trPr>
        <w:tc>
          <w:tcPr>
            <w:tcW w:type="dxa" w:w="3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Observer les personnes fait partie du métier.</w:t>
            </w:r>
          </w:p>
        </w:tc>
        <w:tc>
          <w:tcPr>
            <w:tcW w:type="dxa" w:w="11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Réalité</w:t>
            </w:r>
          </w:p>
        </w:tc>
        <w:tc>
          <w:tcPr>
            <w:tcW w:type="dxa" w:w="49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L'observation est un outil de base de l'agent d'éducation. Elle permet de comprendre ce que vivent les personnes et d'adapter son action. Tu la travailleras toute l'année.</w:t>
            </w:r>
          </w:p>
        </w:tc>
      </w:tr>
    </w:tbl>
    <w:p/>
    <w:p>
      <w:pPr>
        <w:pStyle w:val="Heading2"/>
        <w:keepNext/>
      </w:pPr>
      <w:r>
        <w:t xml:space="preserve">Ce que fait vraiment un agent d'éducation</w:t>
      </w:r>
    </w:p>
    <w:p>
      <w:pPr>
        <w:spacing w:after="120"/>
      </w:pPr>
      <w:r>
        <w:t xml:space="preserve">L'agent d'éducation accompagne des personnes au quotidien, pour les aider à gagner en autonomie. Il travaille en équipe, dans des lieux très différents :</w:t>
      </w:r>
    </w:p>
    <w:p>
      <w:pPr>
        <w:pStyle w:val="ListParagraph"/>
        <w:numPr>
          <w:ilvl w:val="0"/>
          <w:numId w:val="2"/>
        </w:numPr>
        <w:spacing w:after="60"/>
      </w:pPr>
      <w:r>
        <w:t xml:space="preserve">l'aide à la jeunesse : services d'aide en milieu ouvert (AMO), centres d'accueil, institutions publiques de protection de la jeunesse (IPPJ) ;</w:t>
      </w:r>
    </w:p>
    <w:p>
      <w:pPr>
        <w:pStyle w:val="ListParagraph"/>
        <w:numPr>
          <w:ilvl w:val="0"/>
          <w:numId w:val="2"/>
        </w:numPr>
        <w:spacing w:after="60"/>
      </w:pPr>
      <w:r>
        <w:t xml:space="preserve">l'aide aux personnes en situation de handicap : services d'accueil de jour, services résidentiels, entreprises de travail adapté ;</w:t>
      </w:r>
    </w:p>
    <w:p>
      <w:pPr>
        <w:pStyle w:val="ListParagraph"/>
        <w:numPr>
          <w:ilvl w:val="0"/>
          <w:numId w:val="2"/>
        </w:numPr>
        <w:spacing w:after="60"/>
      </w:pPr>
      <w:r>
        <w:t xml:space="preserve">la petite enfance et les personnes âgées : maisons maternelles, maisons de repos, centres de jour ;</w:t>
      </w:r>
    </w:p>
    <w:p>
      <w:pPr>
        <w:pStyle w:val="ListParagraph"/>
        <w:numPr>
          <w:ilvl w:val="0"/>
          <w:numId w:val="2"/>
        </w:numPr>
        <w:spacing w:after="60"/>
      </w:pPr>
      <w:r>
        <w:t xml:space="preserve">la santé : santé mentale, services hospitaliers ;</w:t>
      </w:r>
    </w:p>
    <w:p>
      <w:pPr>
        <w:pStyle w:val="ListParagraph"/>
        <w:numPr>
          <w:ilvl w:val="0"/>
          <w:numId w:val="2"/>
        </w:numPr>
        <w:spacing w:after="60"/>
      </w:pPr>
      <w:r>
        <w:t xml:space="preserve">le secteur socioculturel : maisons de jeunes, écoles de devoirs, centres culturels, centres de loisirs ;</w:t>
      </w:r>
    </w:p>
    <w:p>
      <w:pPr>
        <w:pStyle w:val="ListParagraph"/>
        <w:numPr>
          <w:ilvl w:val="0"/>
          <w:numId w:val="2"/>
        </w:numPr>
        <w:spacing w:after="60"/>
      </w:pPr>
      <w:r>
        <w:t xml:space="preserve">l'enseignement : écoles, enseignement spécialisé, internats ;</w:t>
      </w:r>
    </w:p>
    <w:p>
      <w:pPr>
        <w:pStyle w:val="ListParagraph"/>
        <w:numPr>
          <w:ilvl w:val="0"/>
          <w:numId w:val="2"/>
        </w:numPr>
        <w:spacing w:after="60"/>
      </w:pPr>
      <w:r>
        <w:t xml:space="preserve">les services de proximité : éducateurs de rue ;</w:t>
      </w:r>
    </w:p>
    <w:p>
      <w:pPr>
        <w:pStyle w:val="ListParagraph"/>
        <w:numPr>
          <w:ilvl w:val="0"/>
          <w:numId w:val="2"/>
        </w:numPr>
        <w:spacing w:after="60"/>
      </w:pPr>
      <w:r>
        <w:t xml:space="preserve">l'aide aux adultes en difficulté : maisons d'accueil.</w:t>
      </w:r>
    </w:p>
    <w:p>
      <w:pPr>
        <w:pStyle w:val="Heading1"/>
        <w:keepNext/>
      </w:pPr>
      <w:r>
        <w:t xml:space="preserve">Exercices supplémentaires</w:t>
      </w:r>
    </w:p>
    <w:p>
      <w:pPr>
        <w:pStyle w:val="Heading2"/>
        <w:keepNext/>
      </w:pPr>
      <w:r>
        <w:t xml:space="preserve">Bonus A : pousser le diagnostic plus loin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tblHeader/>
        </w:trPr>
        <w:tc>
          <w:tcPr>
            <w:tcW w:type="dxa" w:w="26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Consigne</w:t>
            </w:r>
          </w:p>
        </w:tc>
        <w:tc>
          <w:tcPr>
            <w:tcW w:type="dxa" w:w="7038"/>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Marche à suivre dans Writer</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1. Couleur du titre</w:t>
            </w:r>
          </w:p>
        </w:tc>
        <w:tc>
          <w:tcPr>
            <w:tcW w:type="dxa" w:w="7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Sélectionner le titre, puis cliquer sur la flèche du bouton Couleur de police et choisir une couleur foncée (bleu foncé, vert foncé...). Les couleurs claires comme le jaune sont illisibles sur fond blanc.</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2. Interligne 1,5</w:t>
            </w:r>
          </w:p>
        </w:tc>
        <w:tc>
          <w:tcPr>
            <w:tcW w:type="dxa" w:w="7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Cliquer dans le paragraphe, puis menu Format, Paragraphe, onglet Retraits et espacement, zone Interligne : choisir 1,5 ligne.</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3. Gras sur une ligne</w:t>
            </w:r>
          </w:p>
        </w:tc>
        <w:tc>
          <w:tcPr>
            <w:tcW w:type="dxa" w:w="7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Sélectionner la ligne, puis bouton G.</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4. Date par un champ</w:t>
            </w:r>
          </w:p>
        </w:tc>
        <w:tc>
          <w:tcPr>
            <w:tcW w:type="dxa" w:w="7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Placer le curseur sous le titre, puis menu Insertion, Champ, Date. La date apparaît sur fond gris : c'est un champ, pas du texte tapé. Pour une date qui se met à jour à chaque ouverture, passer par Insertion, Champ, Autres champs, onglet Document, et choisir le type Date plutôt que Date (fixe).</w:t>
            </w:r>
          </w:p>
        </w:tc>
      </w:tr>
      <w:tr>
        <w:trPr>
          <w:cantSplit/>
        </w:trPr>
        <w:tc>
          <w:tcPr>
            <w:tcW w:type="dxa" w:w="26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5. Enregistrer</w:t>
            </w:r>
          </w:p>
        </w:tc>
        <w:tc>
          <w:tcPr>
            <w:tcW w:type="dxa" w:w="7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Menu Fichier, Enregistrer (et non Enregistrer sous) : le nom ne change pas.</w:t>
            </w:r>
          </w:p>
        </w:tc>
      </w:tr>
    </w:tbl>
    <w:p/>
    <w:p>
      <w:pPr>
        <w:pStyle w:val="Heading2"/>
        <w:keepNext/>
      </w:pPr>
      <w:r>
        <w:t xml:space="preserve">Bonus B : une vraie offre d'emploi</w:t>
      </w:r>
    </w:p>
    <w:p>
      <w:pPr>
        <w:spacing w:after="120"/>
      </w:pPr>
      <w:r>
        <w:t xml:space="preserve">Pas de corrigé : les réponses dépendent de l'offre trouvée. En mise en commun, on remarque souvent la variété des horaires (soirées, week-ends, nuits dans les services résidentiels) et l'importance donnée au travail en équipe.</w:t>
      </w:r>
    </w:p>
    <w:p>
      <w:pPr>
        <w:pStyle w:val="Heading2"/>
        <w:keepNext/>
      </w:pPr>
      <w:r>
        <w:t xml:space="preserve">Bonus C : quel secteur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0"/>
        <w:gridCol w:w="3638"/>
      </w:tblGrid>
      <w:tr>
        <w:trPr>
          <w:tblHeader/>
        </w:trPr>
        <w:tc>
          <w:tcPr>
            <w:tcW w:type="dxa" w:w="60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Situation</w:t>
            </w:r>
          </w:p>
        </w:tc>
        <w:tc>
          <w:tcPr>
            <w:tcW w:type="dxa" w:w="3638"/>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Secteur</w:t>
            </w:r>
          </w:p>
        </w:tc>
      </w:tr>
      <w:tr>
        <w:trPr>
          <w:cantSplit/>
        </w:trPr>
        <w:tc>
          <w:tcPr>
            <w:tcW w:type="dxa" w:w="6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Adultes en situation de handicap dans l'atelier où ils travaillent</w:t>
            </w:r>
          </w:p>
        </w:tc>
        <w:tc>
          <w:tcPr>
            <w:tcW w:type="dxa" w:w="3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Aide aux personnes handicapées (entreprise de travail adapté)</w:t>
            </w:r>
          </w:p>
        </w:tc>
      </w:tr>
      <w:tr>
        <w:trPr>
          <w:cantSplit/>
        </w:trPr>
        <w:tc>
          <w:tcPr>
            <w:tcW w:type="dxa" w:w="6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Après-midi jeux dans une maison de repos</w:t>
            </w:r>
          </w:p>
        </w:tc>
        <w:tc>
          <w:tcPr>
            <w:tcW w:type="dxa" w:w="3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Personnes âgées</w:t>
            </w:r>
          </w:p>
        </w:tc>
      </w:tr>
      <w:tr>
        <w:trPr>
          <w:cantSplit/>
        </w:trPr>
        <w:tc>
          <w:tcPr>
            <w:tcW w:type="dxa" w:w="6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Aide aux devoirs dans l'internat d'une école</w:t>
            </w:r>
          </w:p>
        </w:tc>
        <w:tc>
          <w:tcPr>
            <w:tcW w:type="dxa" w:w="3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Enseignement</w:t>
            </w:r>
          </w:p>
        </w:tc>
      </w:tr>
      <w:tr>
        <w:trPr>
          <w:cantSplit/>
        </w:trPr>
        <w:tc>
          <w:tcPr>
            <w:tcW w:type="dxa" w:w="6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Rencontre des jeunes dans un quartier</w:t>
            </w:r>
          </w:p>
        </w:tc>
        <w:tc>
          <w:tcPr>
            <w:tcW w:type="dxa" w:w="3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Services de proximité (éducateur de rue)</w:t>
            </w:r>
          </w:p>
        </w:tc>
      </w:tr>
      <w:tr>
        <w:trPr>
          <w:cantSplit/>
        </w:trPr>
        <w:tc>
          <w:tcPr>
            <w:tcW w:type="dxa" w:w="6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Atelier musique dans une maison de jeunes</w:t>
            </w:r>
          </w:p>
        </w:tc>
        <w:tc>
          <w:tcPr>
            <w:tcW w:type="dxa" w:w="3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Socioculturel</w:t>
            </w:r>
          </w:p>
        </w:tc>
      </w:tr>
      <w:tr>
        <w:trPr>
          <w:cantSplit/>
        </w:trPr>
        <w:tc>
          <w:tcPr>
            <w:tcW w:type="dxa" w:w="60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Jeunes confiés par le juge de la jeunesse</w:t>
            </w:r>
          </w:p>
        </w:tc>
        <w:tc>
          <w:tcPr>
            <w:tcW w:type="dxa" w:w="36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Aide à la jeunesse</w:t>
            </w:r>
          </w:p>
        </w:tc>
      </w:tr>
    </w:tbl>
    <w:p/>
    <w:p>
      <w:pPr>
        <w:pStyle w:val="Heading2"/>
        <w:keepNext/>
      </w:pPr>
      <w:r>
        <w:t xml:space="preserve">Bonus D : chasse aux fautes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2400"/>
        <w:gridCol w:w="5038"/>
      </w:tblGrid>
      <w:tr>
        <w:trPr>
          <w:tblHeader/>
        </w:trPr>
        <w:tc>
          <w:tcPr>
            <w:tcW w:type="dxa" w:w="22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Faute</w:t>
            </w:r>
          </w:p>
        </w:tc>
        <w:tc>
          <w:tcPr>
            <w:tcW w:type="dxa" w:w="2400"/>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Correction</w:t>
            </w:r>
          </w:p>
        </w:tc>
        <w:tc>
          <w:tcPr>
            <w:tcW w:type="dxa" w:w="5038"/>
            <w:tcBorders>
              <w:top w:val="single" w:color="999999" w:sz="4"/>
              <w:left w:val="single" w:color="999999" w:sz="4"/>
              <w:bottom w:val="single" w:color="999999" w:sz="4"/>
              <w:right w:val="single" w:color="999999" w:sz="4"/>
            </w:tcBorders>
            <w:shd w:fill="D9E2F3" w:color="auto" w:val="clear"/>
            <w:tcMar>
              <w:top w:type="dxa" w:w="50"/>
              <w:left w:type="dxa" w:w="80"/>
              <w:bottom w:type="dxa" w:w="50"/>
              <w:right w:type="dxa" w:w="80"/>
            </w:tcMar>
          </w:tcPr>
          <w:p>
            <w:r>
              <w:rPr>
                <w:b/>
                <w:bCs/>
                <w:sz w:val="19"/>
                <w:szCs w:val="19"/>
              </w:rPr>
              <w:t xml:space="preserve">Pourquoi</w:t>
            </w:r>
          </w:p>
        </w:tc>
      </w:tr>
      <w:tr>
        <w:trPr>
          <w:cantSplit/>
        </w:trPr>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Léa travail</w:t>
            </w:r>
          </w:p>
        </w:tc>
        <w:tc>
          <w:tcPr>
            <w:tcW w:type="dxa" w:w="24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Léa travaille</w:t>
            </w:r>
          </w:p>
        </w:tc>
        <w:tc>
          <w:tcPr>
            <w:tcW w:type="dxa" w:w="5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Verbe travailler conjugué ; « travail » est le nom.</w:t>
            </w:r>
          </w:p>
        </w:tc>
      </w:tr>
      <w:tr>
        <w:trPr>
          <w:cantSplit/>
        </w:trPr>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a faire</w:t>
            </w:r>
          </w:p>
        </w:tc>
        <w:tc>
          <w:tcPr>
            <w:tcW w:type="dxa" w:w="24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à faire</w:t>
            </w:r>
          </w:p>
        </w:tc>
        <w:tc>
          <w:tcPr>
            <w:tcW w:type="dxa" w:w="5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Pas le verbe avoir : on ne peut pas dire « avait faire ».</w:t>
            </w:r>
          </w:p>
        </w:tc>
      </w:tr>
      <w:tr>
        <w:trPr>
          <w:cantSplit/>
        </w:trPr>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leur devoirs</w:t>
            </w:r>
          </w:p>
        </w:tc>
        <w:tc>
          <w:tcPr>
            <w:tcW w:type="dxa" w:w="24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leurs devoirs</w:t>
            </w:r>
          </w:p>
        </w:tc>
        <w:tc>
          <w:tcPr>
            <w:tcW w:type="dxa" w:w="5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Devoirs est au pluriel.</w:t>
            </w:r>
          </w:p>
        </w:tc>
      </w:tr>
      <w:tr>
        <w:trPr>
          <w:cantSplit/>
        </w:trPr>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Elle écoutes</w:t>
            </w:r>
          </w:p>
        </w:tc>
        <w:tc>
          <w:tcPr>
            <w:tcW w:type="dxa" w:w="24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Elle écoute</w:t>
            </w:r>
          </w:p>
        </w:tc>
        <w:tc>
          <w:tcPr>
            <w:tcW w:type="dxa" w:w="5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Avec « elle », pas de s.</w:t>
            </w:r>
          </w:p>
        </w:tc>
      </w:tr>
      <w:tr>
        <w:trPr>
          <w:cantSplit/>
        </w:trPr>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des problémes</w:t>
            </w:r>
          </w:p>
        </w:tc>
        <w:tc>
          <w:tcPr>
            <w:tcW w:type="dxa" w:w="24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des problèmes</w:t>
            </w:r>
          </w:p>
        </w:tc>
        <w:tc>
          <w:tcPr>
            <w:tcW w:type="dxa" w:w="5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Accent grave.</w:t>
            </w:r>
          </w:p>
        </w:tc>
      </w:tr>
      <w:tr>
        <w:trPr>
          <w:cantSplit/>
        </w:trPr>
        <w:tc>
          <w:tcPr>
            <w:tcW w:type="dxa" w:w="22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ces collègues</w:t>
            </w:r>
          </w:p>
        </w:tc>
        <w:tc>
          <w:tcPr>
            <w:tcW w:type="dxa" w:w="2400"/>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ses collègues</w:t>
            </w:r>
          </w:p>
        </w:tc>
        <w:tc>
          <w:tcPr>
            <w:tcW w:type="dxa" w:w="5038"/>
            <w:tcBorders>
              <w:top w:val="single" w:color="999999" w:sz="4"/>
              <w:left w:val="single" w:color="999999" w:sz="4"/>
              <w:bottom w:val="single" w:color="999999" w:sz="4"/>
              <w:right w:val="single" w:color="999999" w:sz="4"/>
            </w:tcBorders>
            <w:tcMar>
              <w:top w:type="dxa" w:w="50"/>
              <w:left w:type="dxa" w:w="80"/>
              <w:bottom w:type="dxa" w:w="50"/>
              <w:right w:type="dxa" w:w="80"/>
            </w:tcMar>
          </w:tcPr>
          <w:p>
            <w:r>
              <w:rPr>
                <w:b w:val="false"/>
                <w:bCs w:val="false"/>
                <w:sz w:val="19"/>
                <w:szCs w:val="19"/>
              </w:rPr>
              <w:t xml:space="preserve">Les collègues de Léa : « ses ».</w:t>
            </w:r>
          </w:p>
        </w:tc>
      </w:tr>
    </w:tbl>
    <w:p/>
    <w:sectPr>
      <w:headerReference w:type="default" r:id="rId7"/>
      <w:footerReference w:type="default" r:id="rId8"/>
      <w:pgSz w:w="11906" w:h="16838" w:orient="portrait"/>
      <w:pgMar w:top="1134" w:right="1134" w:bottom="1134" w:left="1134" w:header="708"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666666"/>
        <w:sz w:val="18"/>
        <w:szCs w:val="18"/>
      </w:rPr>
      <w:t xml:space="preserve">Séance 1 : Bienvenue à l'agence  |  4e Agent d'éducation  |  2026-2027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abstractNum w:abstractNumId="3"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pPr>
    <w:rPr>
      <w:rFonts w:ascii="Calibri" w:cs="Calibri" w:eastAsia="Calibri" w:hAnsi="Calibri"/>
      <w:b/>
      <w:bCs/>
      <w:color w:val="1F3864"/>
      <w:sz w:val="36"/>
      <w:szCs w:val="36"/>
    </w:rPr>
  </w:style>
  <w:style w:type="paragraph" w:styleId="Heading1">
    <w:name w:val="Heading 1"/>
    <w:basedOn w:val="Normal"/>
    <w:next w:val="Normal"/>
    <w:qFormat/>
    <w:pPr>
      <w:spacing w:after="140" w:before="320"/>
      <w:outlineLvl w:val="0"/>
    </w:pPr>
    <w:rPr>
      <w:rFonts w:ascii="Calibri" w:cs="Calibri" w:eastAsia="Calibri" w:hAnsi="Calibri"/>
      <w:b/>
      <w:bCs/>
      <w:color w:val="1F3864"/>
      <w:sz w:val="30"/>
      <w:szCs w:val="30"/>
    </w:rPr>
  </w:style>
  <w:style w:type="paragraph" w:styleId="Heading2">
    <w:name w:val="Heading 2"/>
    <w:basedOn w:val="Normal"/>
    <w:next w:val="Normal"/>
    <w:qFormat/>
    <w:pPr>
      <w:spacing w:after="100" w:before="220"/>
      <w:outlineLvl w:val="1"/>
    </w:pPr>
    <w:rPr>
      <w:rFonts w:ascii="Calibri" w:cs="Calibri" w:eastAsia="Calibri" w:hAnsi="Calibri"/>
      <w:b/>
      <w:bCs/>
      <w:color w:val="2F5496"/>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2026-09-24T18:40:05.946Z</dcterms:created>
  <dcterms:modified xsi:type="dcterms:W3CDTF">2026-09-24T18:40:05.946Z</dcterms:modified>
</cp:coreProperties>
</file>

<file path=docProps/custom.xml><?xml version="1.0" encoding="utf-8"?>
<Properties xmlns="http://schemas.openxmlformats.org/officeDocument/2006/custom-properties" xmlns:vt="http://schemas.openxmlformats.org/officeDocument/2006/docPropsVTypes"/>
</file>